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highlight w:val="none"/>
        </w:rPr>
      </w:r>
      <w:r>
        <w:rPr>
          <w:highlight w:val="none"/>
        </w:rPr>
      </w:r>
      <w:hyperlink r:id="rId9" w:tooltip="https://github.com/AncientEncoder/VMK_MSU_C_Codes" w:history="1">
        <w:r>
          <w:rPr>
            <w:rStyle w:val="172"/>
            <w:highlight w:val="none"/>
          </w:rPr>
          <w:t xml:space="preserve">https://github.com/AncientEncoder/VMK_MSU_C_Codes</w:t>
        </w:r>
      </w:hyperlink>
      <w:r>
        <w:rPr>
          <w:highlight w:val="none"/>
        </w:rPr>
        <w:t xml:space="preserve"> - репозиторий с решенными задачами с 3 семестра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github.com/AncientEncoder/VMK_MSU_C_Cod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1</cp:revision>
  <dcterms:modified xsi:type="dcterms:W3CDTF">2021-09-09T20:55:30Z</dcterms:modified>
</cp:coreProperties>
</file>